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E0" w:rsidRPr="00EA4AF8" w:rsidRDefault="001B44E0" w:rsidP="001B44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  <w:r w:rsidRPr="00EA4AF8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B44E0" w:rsidRPr="00EA4AF8" w:rsidRDefault="001B44E0" w:rsidP="001B44E0">
      <w:pPr>
        <w:pStyle w:val="GvdeMetni"/>
        <w:rPr>
          <w:color w:val="000000"/>
          <w:szCs w:val="24"/>
        </w:rPr>
      </w:pPr>
    </w:p>
    <w:p w:rsidR="005B1E16" w:rsidRPr="00EA4AF8" w:rsidRDefault="005B1E16" w:rsidP="005B1E16">
      <w:pPr>
        <w:pStyle w:val="GvdeMetni"/>
        <w:ind w:firstLine="708"/>
        <w:rPr>
          <w:color w:val="000000"/>
          <w:szCs w:val="24"/>
        </w:rPr>
      </w:pPr>
      <w:r w:rsidRPr="00EA4AF8">
        <w:rPr>
          <w:color w:val="000000"/>
          <w:szCs w:val="24"/>
        </w:rPr>
        <w:t>İl Umumi Hıfzıssıhha Kurulu Vali Yardımcısı Aslan AVŞARBEY başkanlığında Vilayet Toplantı Salonunda toplanarak aşağıdaki kararları almıştır.</w:t>
      </w:r>
    </w:p>
    <w:p w:rsidR="005B1E16" w:rsidRPr="00EA4AF8" w:rsidRDefault="005B1E16" w:rsidP="005B1E16">
      <w:pPr>
        <w:pStyle w:val="GvdeMetni"/>
        <w:rPr>
          <w:bCs/>
          <w:color w:val="000000"/>
          <w:szCs w:val="24"/>
          <w:u w:val="single"/>
        </w:rPr>
      </w:pPr>
    </w:p>
    <w:p w:rsidR="005B1E16" w:rsidRPr="00EA4AF8" w:rsidRDefault="005B1E16" w:rsidP="005B1E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A4A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5B1E16" w:rsidRPr="00EA4AF8" w:rsidRDefault="005B1E16" w:rsidP="005B1E1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5B1E16" w:rsidRPr="00DF78EE" w:rsidRDefault="005B1E16" w:rsidP="005B1E16">
      <w:pPr>
        <w:pStyle w:val="GvdeMetni"/>
        <w:ind w:firstLine="708"/>
        <w:rPr>
          <w:rFonts w:eastAsiaTheme="minorEastAsia"/>
          <w:szCs w:val="24"/>
        </w:rPr>
      </w:pPr>
      <w:r w:rsidRPr="00DF78EE">
        <w:rPr>
          <w:rFonts w:eastAsiaTheme="minorEastAsia"/>
          <w:szCs w:val="24"/>
        </w:rPr>
        <w:t xml:space="preserve">Birçok ülkede olduğu gibi ülkemizde de insan hayatı açısından son derece tehlikeli olan yeni tip </w:t>
      </w:r>
      <w:proofErr w:type="spellStart"/>
      <w:r w:rsidRPr="00DF78EE">
        <w:rPr>
          <w:rFonts w:eastAsiaTheme="minorEastAsia"/>
          <w:szCs w:val="24"/>
        </w:rPr>
        <w:t>Coronavirüs</w:t>
      </w:r>
      <w:proofErr w:type="spellEnd"/>
      <w:r w:rsidRPr="00DF78EE">
        <w:rPr>
          <w:rFonts w:eastAsiaTheme="minorEastAsia"/>
          <w:szCs w:val="24"/>
        </w:rPr>
        <w:t xml:space="preserve"> (</w:t>
      </w:r>
      <w:proofErr w:type="spellStart"/>
      <w:r w:rsidRPr="00DF78EE">
        <w:rPr>
          <w:rFonts w:eastAsiaTheme="minorEastAsia"/>
          <w:szCs w:val="24"/>
        </w:rPr>
        <w:t>Covid</w:t>
      </w:r>
      <w:proofErr w:type="spellEnd"/>
      <w:r w:rsidRPr="00DF78EE">
        <w:rPr>
          <w:rFonts w:eastAsiaTheme="minorEastAsia"/>
          <w:szCs w:val="24"/>
        </w:rPr>
        <w:t xml:space="preserve">-19) salgını nedeniyle tüm dünyada can kaybı ve vaka sayısı artmaya devam etmektedir. </w:t>
      </w:r>
      <w:proofErr w:type="spellStart"/>
      <w:r w:rsidRPr="00DF78EE">
        <w:rPr>
          <w:rFonts w:eastAsiaTheme="minorEastAsia"/>
          <w:szCs w:val="24"/>
        </w:rPr>
        <w:t>Covid</w:t>
      </w:r>
      <w:proofErr w:type="spellEnd"/>
      <w:r w:rsidRPr="00DF78EE">
        <w:rPr>
          <w:rFonts w:eastAsiaTheme="minorEastAsia"/>
          <w:szCs w:val="24"/>
        </w:rPr>
        <w:t xml:space="preserve">-19 salgınında en temel risk unsuru toplumsal alanlarda virüsün bulaşıcılığının yüksek/hızlı olması ve 65 yaş ve üzeri, bağışıklık sistemi </w:t>
      </w:r>
      <w:proofErr w:type="gramStart"/>
      <w:r w:rsidRPr="00DF78EE">
        <w:rPr>
          <w:rFonts w:eastAsiaTheme="minorEastAsia"/>
          <w:szCs w:val="24"/>
        </w:rPr>
        <w:t>düşük,</w:t>
      </w:r>
      <w:proofErr w:type="gramEnd"/>
      <w:r w:rsidRPr="00DF78EE">
        <w:rPr>
          <w:rFonts w:eastAsiaTheme="minorEastAsia"/>
          <w:szCs w:val="24"/>
        </w:rPr>
        <w:t xml:space="preserve"> ve kronik akciğer hastalığı, astım, KOAH, kalp/damar hastalığı, böbrek, hipertansiyon ve karaciğer hastalığı olanlar ile bağışıklık sistemini bozan ilaçları kullanan insanların üzerinde ciddi sağlık sorunları oluşturarak insan hayatını tehdit etmesidir.</w:t>
      </w:r>
    </w:p>
    <w:p w:rsidR="005B1E16" w:rsidRPr="00DF78EE" w:rsidRDefault="005B1E16" w:rsidP="005B1E16">
      <w:pPr>
        <w:pStyle w:val="GvdeMetni"/>
        <w:rPr>
          <w:rFonts w:eastAsiaTheme="minorEastAsia"/>
          <w:szCs w:val="24"/>
        </w:rPr>
      </w:pPr>
    </w:p>
    <w:p w:rsidR="005B1E16" w:rsidRPr="00DF78EE" w:rsidRDefault="005B1E16" w:rsidP="005B1E16">
      <w:pPr>
        <w:pStyle w:val="GvdeMetni"/>
        <w:ind w:firstLine="708"/>
        <w:rPr>
          <w:rFonts w:eastAsiaTheme="minorEastAsia"/>
          <w:szCs w:val="24"/>
        </w:rPr>
      </w:pPr>
      <w:r w:rsidRPr="00DF78EE">
        <w:rPr>
          <w:rFonts w:eastAsiaTheme="minorEastAsia"/>
          <w:szCs w:val="24"/>
        </w:rPr>
        <w:t>Ancak 65 ve üzeri yaşlardaki vatandaşlarımız ile yukarıda anılan kronik rahatsızlıkları olan vatandaşlarımız büyük risk altında olmasına rağmen toplumsal hareketliliğin içine girmekte; halka açık alanlarda, parklarda bir araya gelmekte, zorunlu olmamalarına rağmen toplu taşıma araçlarında seyahat ederek hem kendileri hem de toplum sağlığı açısından risk oluşturmaya devam etmektedirler.</w:t>
      </w:r>
    </w:p>
    <w:p w:rsidR="005B1E16" w:rsidRPr="00DF78EE" w:rsidRDefault="005B1E16" w:rsidP="005B1E16">
      <w:pPr>
        <w:pStyle w:val="GvdeMetni"/>
        <w:rPr>
          <w:rFonts w:eastAsiaTheme="minorEastAsia"/>
          <w:szCs w:val="24"/>
        </w:rPr>
      </w:pPr>
    </w:p>
    <w:p w:rsidR="005B1E16" w:rsidRPr="00DF78EE" w:rsidRDefault="005B1E16" w:rsidP="005B1E16">
      <w:pPr>
        <w:pStyle w:val="GvdeMetni"/>
        <w:ind w:firstLine="708"/>
        <w:rPr>
          <w:rFonts w:eastAsiaTheme="minorEastAsia"/>
          <w:szCs w:val="24"/>
        </w:rPr>
      </w:pPr>
      <w:r w:rsidRPr="00DF78EE">
        <w:rPr>
          <w:rFonts w:eastAsiaTheme="minorEastAsia"/>
          <w:szCs w:val="24"/>
        </w:rPr>
        <w:t>Bu durum toplum sağlığı açısından ciddi risk oluşturarak salgının yayılmasını; vaka sayısı ve tedavi gereksinimi arttırarak, vatandaşlarımız hayatlarını kaybetmesi riski ile toplum sağlığı ve kamu düzeninin ciddi şekilde bozulmasına sebep olacağından;</w:t>
      </w:r>
    </w:p>
    <w:p w:rsidR="005B1E16" w:rsidRPr="00DF78EE" w:rsidRDefault="005B1E16" w:rsidP="005B1E16">
      <w:pPr>
        <w:pStyle w:val="GvdeMetni"/>
        <w:rPr>
          <w:rFonts w:eastAsiaTheme="minorEastAsia"/>
          <w:szCs w:val="24"/>
        </w:rPr>
      </w:pPr>
    </w:p>
    <w:p w:rsidR="005B1E16" w:rsidRPr="00DF78EE" w:rsidRDefault="005B1E16" w:rsidP="005B1E16">
      <w:pPr>
        <w:pStyle w:val="GvdeMetni"/>
        <w:ind w:firstLine="708"/>
        <w:rPr>
          <w:rFonts w:eastAsiaTheme="minorEastAsia"/>
          <w:szCs w:val="24"/>
        </w:rPr>
      </w:pPr>
      <w:r w:rsidRPr="00DF78EE">
        <w:rPr>
          <w:rFonts w:eastAsiaTheme="minorEastAsia"/>
          <w:szCs w:val="24"/>
        </w:rPr>
        <w:t>Sağlık Bakanlığı ve Bilim Kurulunun tavsiyeleri doğrultusunda,</w:t>
      </w:r>
    </w:p>
    <w:p w:rsidR="005B1E16" w:rsidRPr="00DF78EE" w:rsidRDefault="005B1E16" w:rsidP="005B1E16">
      <w:pPr>
        <w:pStyle w:val="GvdeMetni"/>
        <w:rPr>
          <w:rFonts w:eastAsiaTheme="minorEastAsia"/>
          <w:szCs w:val="24"/>
        </w:rPr>
      </w:pPr>
    </w:p>
    <w:p w:rsidR="005B1E16" w:rsidRPr="00DF78EE" w:rsidRDefault="005B1E16" w:rsidP="005B1E16">
      <w:pPr>
        <w:pStyle w:val="GvdeMetni"/>
        <w:ind w:firstLine="708"/>
        <w:rPr>
          <w:rFonts w:eastAsiaTheme="minorEastAsia"/>
          <w:b/>
          <w:szCs w:val="24"/>
        </w:rPr>
      </w:pPr>
      <w:r w:rsidRPr="00DF78EE">
        <w:rPr>
          <w:rFonts w:eastAsiaTheme="minorEastAsia"/>
          <w:szCs w:val="24"/>
        </w:rPr>
        <w:t xml:space="preserve">1-Umuma Hıfzıssıhha Kanunun 27 </w:t>
      </w:r>
      <w:proofErr w:type="spellStart"/>
      <w:r w:rsidRPr="00DF78EE">
        <w:rPr>
          <w:rFonts w:eastAsiaTheme="minorEastAsia"/>
          <w:szCs w:val="24"/>
        </w:rPr>
        <w:t>nci</w:t>
      </w:r>
      <w:proofErr w:type="spellEnd"/>
      <w:r w:rsidRPr="00DF78EE">
        <w:rPr>
          <w:rFonts w:eastAsiaTheme="minorEastAsia"/>
          <w:szCs w:val="24"/>
        </w:rPr>
        <w:t xml:space="preserve"> ve 72 </w:t>
      </w:r>
      <w:proofErr w:type="spellStart"/>
      <w:r w:rsidRPr="00DF78EE">
        <w:rPr>
          <w:rFonts w:eastAsiaTheme="minorEastAsia"/>
          <w:szCs w:val="24"/>
        </w:rPr>
        <w:t>nci</w:t>
      </w:r>
      <w:proofErr w:type="spellEnd"/>
      <w:r w:rsidRPr="00DF78EE">
        <w:rPr>
          <w:rFonts w:eastAsiaTheme="minorEastAsia"/>
          <w:szCs w:val="24"/>
        </w:rPr>
        <w:t xml:space="preserve"> maddesi gereğince; </w:t>
      </w:r>
      <w:r w:rsidRPr="00DF78EE">
        <w:rPr>
          <w:rFonts w:eastAsiaTheme="minorEastAsia"/>
          <w:b/>
          <w:szCs w:val="24"/>
        </w:rPr>
        <w:t xml:space="preserve">21.03.2020 tarihi saat 24.00’den sonra 65 yaş ve üstü vatandaşlarımız ile yukarıda anılan kronik rahatsızlıklara sahip vatandaşlarımızın </w:t>
      </w:r>
      <w:proofErr w:type="gramStart"/>
      <w:r>
        <w:rPr>
          <w:rFonts w:eastAsiaTheme="minorEastAsia"/>
          <w:b/>
          <w:szCs w:val="24"/>
        </w:rPr>
        <w:t>(</w:t>
      </w:r>
      <w:proofErr w:type="gramEnd"/>
      <w:r>
        <w:rPr>
          <w:rFonts w:eastAsiaTheme="minorEastAsia"/>
          <w:b/>
          <w:szCs w:val="24"/>
        </w:rPr>
        <w:t xml:space="preserve">bu kapsamda olmakla birlikte yürüttükleri kamu görevinin niteliği ve mevcut süreçteki </w:t>
      </w:r>
      <w:proofErr w:type="spellStart"/>
      <w:r>
        <w:rPr>
          <w:rFonts w:eastAsiaTheme="minorEastAsia"/>
          <w:b/>
          <w:szCs w:val="24"/>
        </w:rPr>
        <w:t>aciliyeti</w:t>
      </w:r>
      <w:proofErr w:type="spellEnd"/>
      <w:r>
        <w:rPr>
          <w:rFonts w:eastAsiaTheme="minorEastAsia"/>
          <w:b/>
          <w:szCs w:val="24"/>
        </w:rPr>
        <w:t xml:space="preserve"> ve kamu hizmetlerinin sürekliliğinin sağlanmasında ihtiyaç duyulan (kanser hastaları ve organ nakli olanlar istisna) kamu görevlileri </w:t>
      </w:r>
      <w:r w:rsidRPr="000E6FA3">
        <w:rPr>
          <w:rFonts w:eastAsiaTheme="minorEastAsia"/>
          <w:szCs w:val="24"/>
        </w:rPr>
        <w:t>(doktorlar ve diğer sağlık çalışanları, eczacılar, belediye başkanları, kurum il ve ilçe müdürleri, sosyal hizmet kuruluşları görevlileri ve benzeri görev yürüttükleri için hizmetlerine ihtiyaç duyulduğu ilgili il/kurum müdürlerince değerlendirilenler hariç olmak üzere)</w:t>
      </w:r>
      <w:r>
        <w:rPr>
          <w:rFonts w:eastAsiaTheme="minorEastAsia"/>
          <w:b/>
          <w:szCs w:val="24"/>
        </w:rPr>
        <w:t xml:space="preserve"> </w:t>
      </w:r>
      <w:r w:rsidRPr="00DF78EE">
        <w:rPr>
          <w:rFonts w:eastAsiaTheme="minorEastAsia"/>
          <w:b/>
          <w:szCs w:val="24"/>
        </w:rPr>
        <w:t>ikametlerinden dışarı çıkmaları, açık alanlarda, parklarda dolaşmaları ve toplu ulaşım araçları ile seyahat etmelerinin yasaklanmasına;</w:t>
      </w:r>
    </w:p>
    <w:p w:rsidR="005B1E16" w:rsidRPr="00DF78EE" w:rsidRDefault="005B1E16" w:rsidP="005B1E16">
      <w:pPr>
        <w:pStyle w:val="GvdeMetni"/>
        <w:rPr>
          <w:rFonts w:eastAsiaTheme="minorEastAsia"/>
          <w:szCs w:val="24"/>
        </w:rPr>
      </w:pPr>
    </w:p>
    <w:p w:rsidR="005B1E16" w:rsidRPr="00DF78EE" w:rsidRDefault="005B1E16" w:rsidP="005B1E16">
      <w:pPr>
        <w:pStyle w:val="GvdeMetni"/>
        <w:ind w:firstLine="708"/>
        <w:rPr>
          <w:rFonts w:eastAsiaTheme="minorEastAsia"/>
          <w:szCs w:val="24"/>
        </w:rPr>
      </w:pPr>
      <w:r w:rsidRPr="00DF78EE">
        <w:rPr>
          <w:rFonts w:eastAsiaTheme="minorEastAsia"/>
          <w:szCs w:val="24"/>
        </w:rPr>
        <w:t>2-Yukarıda alınan kararlara uymayanlara;</w:t>
      </w:r>
    </w:p>
    <w:p w:rsidR="005B1E16" w:rsidRPr="00DF78EE" w:rsidRDefault="005B1E16" w:rsidP="005B1E16">
      <w:pPr>
        <w:pStyle w:val="GvdeMetni"/>
        <w:rPr>
          <w:rFonts w:eastAsiaTheme="minorEastAsia"/>
          <w:szCs w:val="24"/>
        </w:rPr>
      </w:pPr>
      <w:r w:rsidRPr="00DF78EE">
        <w:rPr>
          <w:rFonts w:eastAsiaTheme="minorEastAsia"/>
          <w:szCs w:val="24"/>
        </w:rPr>
        <w:t>1593 sayılı Umumi Hıfzıssıhha Kanununun 282. Maddesi gereğince idari para cezası (3.150 TL),</w:t>
      </w:r>
    </w:p>
    <w:p w:rsidR="005B1E16" w:rsidRPr="00DF78EE" w:rsidRDefault="005B1E16" w:rsidP="005B1E16">
      <w:pPr>
        <w:pStyle w:val="GvdeMetni"/>
        <w:rPr>
          <w:rFonts w:eastAsiaTheme="minorEastAsia"/>
          <w:szCs w:val="24"/>
        </w:rPr>
      </w:pPr>
      <w:r w:rsidRPr="00DF78EE">
        <w:rPr>
          <w:rFonts w:eastAsiaTheme="minorEastAsia"/>
          <w:szCs w:val="24"/>
        </w:rPr>
        <w:t>5326 sayılı Kabahatler Kanununun 32. Maddesi gereğince idari para cezası  (392 TL) uygulanmasına,</w:t>
      </w:r>
    </w:p>
    <w:p w:rsidR="005B1E16" w:rsidRPr="00DF78EE" w:rsidRDefault="005B1E16" w:rsidP="005B1E16">
      <w:pPr>
        <w:pStyle w:val="GvdeMetni"/>
        <w:rPr>
          <w:rFonts w:eastAsiaTheme="minorEastAsia"/>
          <w:szCs w:val="24"/>
        </w:rPr>
      </w:pPr>
      <w:r w:rsidRPr="00DF78EE">
        <w:rPr>
          <w:rFonts w:eastAsiaTheme="minorEastAsia"/>
          <w:szCs w:val="24"/>
        </w:rPr>
        <w:t>5237 sayılı Türk Ceza Kanununun 195. Maddesi gereğince işlem yapılmak üzere Cumhuriyet Savcılığına bildirilmesine,</w:t>
      </w:r>
    </w:p>
    <w:p w:rsidR="005B1E16" w:rsidRPr="00DF78EE" w:rsidRDefault="005B1E16" w:rsidP="005B1E16">
      <w:pPr>
        <w:pStyle w:val="GvdeMetni"/>
        <w:rPr>
          <w:rFonts w:eastAsiaTheme="minorEastAsia"/>
          <w:szCs w:val="24"/>
        </w:rPr>
      </w:pPr>
    </w:p>
    <w:p w:rsidR="005B1E16" w:rsidRPr="00DF78EE" w:rsidRDefault="005B1E16" w:rsidP="005B1E16">
      <w:pPr>
        <w:pStyle w:val="GvdeMetni"/>
        <w:rPr>
          <w:rFonts w:eastAsiaTheme="minorEastAsia"/>
          <w:szCs w:val="24"/>
        </w:rPr>
      </w:pPr>
      <w:r w:rsidRPr="00DF78EE">
        <w:rPr>
          <w:rFonts w:eastAsiaTheme="minorEastAsia"/>
          <w:szCs w:val="24"/>
        </w:rPr>
        <w:t xml:space="preserve"> Oy birliği ile karar verilmiştir.</w:t>
      </w:r>
    </w:p>
    <w:p w:rsidR="005B1E16" w:rsidRDefault="005B1E16" w:rsidP="005B1E16">
      <w:pPr>
        <w:pStyle w:val="GvdeMetni"/>
        <w:rPr>
          <w:rFonts w:eastAsiaTheme="minorEastAsia"/>
          <w:szCs w:val="24"/>
        </w:rPr>
      </w:pPr>
    </w:p>
    <w:p w:rsidR="001B44E0" w:rsidRDefault="001B44E0" w:rsidP="001B44E0">
      <w:pPr>
        <w:jc w:val="both"/>
        <w:rPr>
          <w:sz w:val="24"/>
        </w:rPr>
        <w:sectPr w:rsidR="001B44E0" w:rsidSect="00F74C3E">
          <w:headerReference w:type="default" r:id="rId7"/>
          <w:pgSz w:w="11910" w:h="16840"/>
          <w:pgMar w:top="1580" w:right="880" w:bottom="280" w:left="1300" w:header="708" w:footer="708" w:gutter="0"/>
          <w:cols w:space="708"/>
        </w:sectPr>
      </w:pPr>
    </w:p>
    <w:p w:rsidR="001B44E0" w:rsidRDefault="001B44E0" w:rsidP="001B44E0">
      <w:pPr>
        <w:pStyle w:val="GvdeMetni"/>
        <w:spacing w:before="74"/>
        <w:ind w:right="109"/>
        <w:rPr>
          <w:b/>
        </w:rPr>
      </w:pPr>
      <w:r>
        <w:rPr>
          <w:b/>
        </w:rPr>
        <w:lastRenderedPageBreak/>
        <w:t xml:space="preserve">         </w:t>
      </w:r>
    </w:p>
    <w:p w:rsidR="001B44E0" w:rsidRDefault="001B44E0" w:rsidP="001B44E0">
      <w:pPr>
        <w:pStyle w:val="GvdeMetni"/>
        <w:spacing w:before="74"/>
        <w:ind w:right="109"/>
        <w:rPr>
          <w:b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3911C0" w:rsidRDefault="003911C0"/>
    <w:sectPr w:rsidR="003911C0" w:rsidSect="0039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3A" w:rsidRDefault="00ED573A" w:rsidP="00462508">
      <w:pPr>
        <w:spacing w:after="0" w:line="240" w:lineRule="auto"/>
      </w:pPr>
      <w:r>
        <w:separator/>
      </w:r>
    </w:p>
  </w:endnote>
  <w:endnote w:type="continuationSeparator" w:id="0">
    <w:p w:rsidR="00ED573A" w:rsidRDefault="00ED573A" w:rsidP="0046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3A" w:rsidRDefault="00ED573A" w:rsidP="00462508">
      <w:pPr>
        <w:spacing w:after="0" w:line="240" w:lineRule="auto"/>
      </w:pPr>
      <w:r>
        <w:separator/>
      </w:r>
    </w:p>
  </w:footnote>
  <w:footnote w:type="continuationSeparator" w:id="0">
    <w:p w:rsidR="00ED573A" w:rsidRDefault="00ED573A" w:rsidP="0046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28" w:rsidRPr="004D7BDD" w:rsidRDefault="001B44E0" w:rsidP="00BA19E8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 0</w:t>
    </w:r>
    <w:r w:rsidR="005B1E16">
      <w:rPr>
        <w:b/>
        <w:color w:val="000000"/>
        <w:szCs w:val="24"/>
      </w:rPr>
      <w:t>5</w:t>
    </w:r>
  </w:p>
  <w:p w:rsidR="003A5A28" w:rsidRDefault="001B44E0" w:rsidP="00BA19E8">
    <w:pPr>
      <w:pStyle w:val="GvdeMetni"/>
      <w:rPr>
        <w:b/>
        <w:color w:val="000000"/>
        <w:szCs w:val="24"/>
      </w:rPr>
    </w:pPr>
    <w:r w:rsidRPr="004D7BDD">
      <w:rPr>
        <w:b/>
        <w:color w:val="000000"/>
        <w:szCs w:val="24"/>
      </w:rPr>
      <w:t xml:space="preserve">KARAR TARİHİ </w:t>
    </w:r>
    <w:r w:rsidRPr="004D7BDD">
      <w:rPr>
        <w:b/>
        <w:color w:val="000000"/>
        <w:szCs w:val="24"/>
      </w:rPr>
      <w:tab/>
      <w:t xml:space="preserve">: </w:t>
    </w:r>
    <w:r>
      <w:rPr>
        <w:b/>
        <w:color w:val="000000"/>
        <w:szCs w:val="24"/>
      </w:rPr>
      <w:t>2</w:t>
    </w:r>
    <w:r w:rsidR="00AE6E75">
      <w:rPr>
        <w:b/>
        <w:color w:val="000000"/>
        <w:szCs w:val="24"/>
      </w:rPr>
      <w:t>1</w:t>
    </w:r>
    <w:r>
      <w:rPr>
        <w:b/>
        <w:color w:val="000000"/>
        <w:szCs w:val="24"/>
      </w:rPr>
      <w:t>.03.2020</w:t>
    </w:r>
  </w:p>
  <w:p w:rsidR="003A5A28" w:rsidRDefault="00ED573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E2B"/>
    <w:multiLevelType w:val="hybridMultilevel"/>
    <w:tmpl w:val="02BAD242"/>
    <w:lvl w:ilvl="0" w:tplc="DF66F7D8">
      <w:start w:val="1"/>
      <w:numFmt w:val="lowerLetter"/>
      <w:lvlText w:val="%1)"/>
      <w:lvlJc w:val="left"/>
      <w:pPr>
        <w:ind w:left="380" w:hanging="2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D994BE60">
      <w:numFmt w:val="bullet"/>
      <w:lvlText w:val="•"/>
      <w:lvlJc w:val="left"/>
      <w:pPr>
        <w:ind w:left="1314" w:hanging="262"/>
      </w:pPr>
      <w:rPr>
        <w:rFonts w:hint="default"/>
        <w:lang w:val="tr-TR" w:eastAsia="en-US" w:bidi="ar-SA"/>
      </w:rPr>
    </w:lvl>
    <w:lvl w:ilvl="2" w:tplc="0A92EBAC">
      <w:numFmt w:val="bullet"/>
      <w:lvlText w:val="•"/>
      <w:lvlJc w:val="left"/>
      <w:pPr>
        <w:ind w:left="2249" w:hanging="262"/>
      </w:pPr>
      <w:rPr>
        <w:rFonts w:hint="default"/>
        <w:lang w:val="tr-TR" w:eastAsia="en-US" w:bidi="ar-SA"/>
      </w:rPr>
    </w:lvl>
    <w:lvl w:ilvl="3" w:tplc="D3EA5152">
      <w:numFmt w:val="bullet"/>
      <w:lvlText w:val="•"/>
      <w:lvlJc w:val="left"/>
      <w:pPr>
        <w:ind w:left="3183" w:hanging="262"/>
      </w:pPr>
      <w:rPr>
        <w:rFonts w:hint="default"/>
        <w:lang w:val="tr-TR" w:eastAsia="en-US" w:bidi="ar-SA"/>
      </w:rPr>
    </w:lvl>
    <w:lvl w:ilvl="4" w:tplc="2E362874">
      <w:numFmt w:val="bullet"/>
      <w:lvlText w:val="•"/>
      <w:lvlJc w:val="left"/>
      <w:pPr>
        <w:ind w:left="4118" w:hanging="262"/>
      </w:pPr>
      <w:rPr>
        <w:rFonts w:hint="default"/>
        <w:lang w:val="tr-TR" w:eastAsia="en-US" w:bidi="ar-SA"/>
      </w:rPr>
    </w:lvl>
    <w:lvl w:ilvl="5" w:tplc="75C0A7C2">
      <w:numFmt w:val="bullet"/>
      <w:lvlText w:val="•"/>
      <w:lvlJc w:val="left"/>
      <w:pPr>
        <w:ind w:left="5053" w:hanging="262"/>
      </w:pPr>
      <w:rPr>
        <w:rFonts w:hint="default"/>
        <w:lang w:val="tr-TR" w:eastAsia="en-US" w:bidi="ar-SA"/>
      </w:rPr>
    </w:lvl>
    <w:lvl w:ilvl="6" w:tplc="2D6A8FF2">
      <w:numFmt w:val="bullet"/>
      <w:lvlText w:val="•"/>
      <w:lvlJc w:val="left"/>
      <w:pPr>
        <w:ind w:left="5987" w:hanging="262"/>
      </w:pPr>
      <w:rPr>
        <w:rFonts w:hint="default"/>
        <w:lang w:val="tr-TR" w:eastAsia="en-US" w:bidi="ar-SA"/>
      </w:rPr>
    </w:lvl>
    <w:lvl w:ilvl="7" w:tplc="CDD4DF24">
      <w:numFmt w:val="bullet"/>
      <w:lvlText w:val="•"/>
      <w:lvlJc w:val="left"/>
      <w:pPr>
        <w:ind w:left="6922" w:hanging="262"/>
      </w:pPr>
      <w:rPr>
        <w:rFonts w:hint="default"/>
        <w:lang w:val="tr-TR" w:eastAsia="en-US" w:bidi="ar-SA"/>
      </w:rPr>
    </w:lvl>
    <w:lvl w:ilvl="8" w:tplc="01A0C424">
      <w:numFmt w:val="bullet"/>
      <w:lvlText w:val="•"/>
      <w:lvlJc w:val="left"/>
      <w:pPr>
        <w:ind w:left="7857" w:hanging="26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4E0"/>
    <w:rsid w:val="000B1FCF"/>
    <w:rsid w:val="001B44E0"/>
    <w:rsid w:val="001B70C4"/>
    <w:rsid w:val="00297664"/>
    <w:rsid w:val="003911C0"/>
    <w:rsid w:val="0039318E"/>
    <w:rsid w:val="00462508"/>
    <w:rsid w:val="005B1E16"/>
    <w:rsid w:val="005D30D6"/>
    <w:rsid w:val="006C0AE4"/>
    <w:rsid w:val="007A4E9D"/>
    <w:rsid w:val="00922009"/>
    <w:rsid w:val="00AC0235"/>
    <w:rsid w:val="00AE6E75"/>
    <w:rsid w:val="00C54206"/>
    <w:rsid w:val="00EA360D"/>
    <w:rsid w:val="00ED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1B44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1B44E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1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B4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44E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E6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E6E75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>SolidShare.Net Ekibi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cevre</cp:lastModifiedBy>
  <cp:revision>3</cp:revision>
  <dcterms:created xsi:type="dcterms:W3CDTF">2020-03-24T06:57:00Z</dcterms:created>
  <dcterms:modified xsi:type="dcterms:W3CDTF">2020-03-24T06:58:00Z</dcterms:modified>
</cp:coreProperties>
</file>